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053B98" w14:textId="77777777" w:rsidR="00984054" w:rsidRDefault="00984054"/>
    <w:p w14:paraId="4511FFB5" w14:textId="77777777" w:rsidR="00984054" w:rsidRDefault="00984054" w:rsidP="00984054">
      <w:r>
        <w:t>В статье И.В. Образцова анализируются два значимых зарубежных издания 2022 года, посвященных изучению войны в рамках социологии, на фоне отмечаемого автором игнорирования этой темы в российской социологической науке [Образцов, 2019; Образцов, 2020].</w:t>
      </w:r>
    </w:p>
    <w:p w14:paraId="5E8B9194" w14:textId="77777777" w:rsidR="00984054" w:rsidRDefault="00984054" w:rsidP="00984054"/>
    <w:p w14:paraId="2B5CB7E7" w14:textId="77777777" w:rsidR="00984054" w:rsidRDefault="00984054" w:rsidP="00984054">
      <w:r>
        <w:t xml:space="preserve">Первым рассмотренным трудом является учебник У. Скотта, К. де </w:t>
      </w:r>
      <w:proofErr w:type="spellStart"/>
      <w:r>
        <w:t>Анжелис</w:t>
      </w:r>
      <w:proofErr w:type="spellEnd"/>
      <w:r>
        <w:t xml:space="preserve"> и Д. Сигала «Военная социология. Вводный курс» [</w:t>
      </w:r>
      <w:proofErr w:type="spellStart"/>
      <w:r>
        <w:t>Scott</w:t>
      </w:r>
      <w:proofErr w:type="spellEnd"/>
      <w:r>
        <w:t xml:space="preserve"> </w:t>
      </w:r>
      <w:proofErr w:type="spellStart"/>
      <w:r>
        <w:t>et</w:t>
      </w:r>
      <w:proofErr w:type="spellEnd"/>
      <w:r>
        <w:t xml:space="preserve"> </w:t>
      </w:r>
      <w:proofErr w:type="spellStart"/>
      <w:r>
        <w:t>al</w:t>
      </w:r>
      <w:proofErr w:type="spellEnd"/>
      <w:r>
        <w:t>., 2022]. Этот учебник, предназначенный для студентов, представляет доминирующий в западной науке подход, связывающий войну с деятельностью вооруженных сил. Авторы различают "военную социологию" в широком, междисциплинарном смысле (</w:t>
      </w:r>
      <w:proofErr w:type="spellStart"/>
      <w:r>
        <w:t>military</w:t>
      </w:r>
      <w:proofErr w:type="spellEnd"/>
      <w:r>
        <w:t xml:space="preserve"> </w:t>
      </w:r>
      <w:proofErr w:type="spellStart"/>
      <w:r>
        <w:t>sociology</w:t>
      </w:r>
      <w:proofErr w:type="spellEnd"/>
      <w:r>
        <w:t>) и "социологию военной организации" (</w:t>
      </w:r>
      <w:proofErr w:type="spellStart"/>
      <w:r>
        <w:t>sociology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military</w:t>
      </w:r>
      <w:proofErr w:type="spellEnd"/>
      <w:r>
        <w:t>) как строго дисциплинарную область [</w:t>
      </w:r>
      <w:proofErr w:type="spellStart"/>
      <w:r>
        <w:t>Scott</w:t>
      </w:r>
      <w:proofErr w:type="spellEnd"/>
      <w:r>
        <w:t xml:space="preserve"> </w:t>
      </w:r>
      <w:proofErr w:type="spellStart"/>
      <w:r>
        <w:t>et</w:t>
      </w:r>
      <w:proofErr w:type="spellEnd"/>
      <w:r>
        <w:t xml:space="preserve"> </w:t>
      </w:r>
      <w:proofErr w:type="spellStart"/>
      <w:r>
        <w:t>al</w:t>
      </w:r>
      <w:proofErr w:type="spellEnd"/>
      <w:r>
        <w:t>., 2022: 14]. В книге подробно описываются различные типы войн — "большие" (межгосударственные), "малые" (асимметричные) и "новые", характеризующиеся использованием передовых технологий. Ключевой вывод авторов учебника заключается в том, что войны, несмотря на военное измерение, редко имеют чисто военное решение, так как их корни лежат в политической, экономической и социальной сферах [</w:t>
      </w:r>
      <w:proofErr w:type="spellStart"/>
      <w:r>
        <w:t>ibid</w:t>
      </w:r>
      <w:proofErr w:type="spellEnd"/>
      <w:r>
        <w:t xml:space="preserve">.: 144]. В то же время, Образцов отмечает, что учебник мог бы больше внимания уделить именно социологическому анализу, а также критикует его </w:t>
      </w:r>
      <w:proofErr w:type="spellStart"/>
      <w:r>
        <w:t>американоцентричность</w:t>
      </w:r>
      <w:proofErr w:type="spellEnd"/>
      <w:r>
        <w:t>, поскольку большинство примеров основаны на опыте США [</w:t>
      </w:r>
      <w:proofErr w:type="spellStart"/>
      <w:r>
        <w:t>Scott</w:t>
      </w:r>
      <w:proofErr w:type="spellEnd"/>
      <w:r>
        <w:t xml:space="preserve"> </w:t>
      </w:r>
      <w:proofErr w:type="spellStart"/>
      <w:r>
        <w:t>et</w:t>
      </w:r>
      <w:proofErr w:type="spellEnd"/>
      <w:r>
        <w:t xml:space="preserve"> </w:t>
      </w:r>
      <w:proofErr w:type="spellStart"/>
      <w:r>
        <w:t>al</w:t>
      </w:r>
      <w:proofErr w:type="spellEnd"/>
      <w:r>
        <w:t>., 2022].</w:t>
      </w:r>
    </w:p>
    <w:p w14:paraId="1F07EA4B" w14:textId="77777777" w:rsidR="00984054" w:rsidRDefault="00984054" w:rsidP="00984054"/>
    <w:p w14:paraId="0DB3FCC4" w14:textId="77777777" w:rsidR="00984054" w:rsidRDefault="00984054" w:rsidP="00984054">
      <w:r>
        <w:t xml:space="preserve">Вторым изданием является монография С. </w:t>
      </w:r>
      <w:proofErr w:type="spellStart"/>
      <w:r>
        <w:t>Малешевича</w:t>
      </w:r>
      <w:proofErr w:type="spellEnd"/>
      <w:r>
        <w:t xml:space="preserve"> «Почему люди воюют. Социальная динамика насилия на уровне межличностных взаимодействий» [</w:t>
      </w:r>
      <w:proofErr w:type="spellStart"/>
      <w:r>
        <w:t>Malešević</w:t>
      </w:r>
      <w:proofErr w:type="spellEnd"/>
      <w:r>
        <w:t xml:space="preserve">, 2022]. Этот труд представляет менее популярное, но более фундаментальное направление — "социологию войны и насилия". </w:t>
      </w:r>
      <w:proofErr w:type="spellStart"/>
      <w:r>
        <w:t>Малешевич</w:t>
      </w:r>
      <w:proofErr w:type="spellEnd"/>
      <w:r>
        <w:t xml:space="preserve"> исследует феномен войны в долгосрочной исторической перспективе, фокусируясь на </w:t>
      </w:r>
      <w:proofErr w:type="spellStart"/>
      <w:r>
        <w:t>микросоциологическом</w:t>
      </w:r>
      <w:proofErr w:type="spellEnd"/>
      <w:r>
        <w:t xml:space="preserve"> уровне. Центральным понятием его работы является "социальная </w:t>
      </w:r>
      <w:proofErr w:type="spellStart"/>
      <w:r>
        <w:t>пагнесивность</w:t>
      </w:r>
      <w:proofErr w:type="spellEnd"/>
      <w:r>
        <w:t>" (</w:t>
      </w:r>
      <w:proofErr w:type="spellStart"/>
      <w:r>
        <w:t>social</w:t>
      </w:r>
      <w:proofErr w:type="spellEnd"/>
      <w:r>
        <w:t xml:space="preserve"> </w:t>
      </w:r>
      <w:proofErr w:type="spellStart"/>
      <w:r>
        <w:t>pugnacity</w:t>
      </w:r>
      <w:proofErr w:type="spellEnd"/>
      <w:r>
        <w:t>), которое автор предлагает понимать как "социальную воинственность" — социальный процесс, а не биологическую агрессию. Этот процесс включает формирование общественного настроя, готовности к насилию и самопожертвованию как до, так и после непосредственного столкновения [</w:t>
      </w:r>
      <w:proofErr w:type="spellStart"/>
      <w:r>
        <w:t>ibid</w:t>
      </w:r>
      <w:proofErr w:type="spellEnd"/>
      <w:r>
        <w:t xml:space="preserve">.: 9, 158]. </w:t>
      </w:r>
      <w:proofErr w:type="spellStart"/>
      <w:r>
        <w:t>Малешевич</w:t>
      </w:r>
      <w:proofErr w:type="spellEnd"/>
      <w:r>
        <w:t xml:space="preserve"> выделяет три ключевых механизма, порождающих </w:t>
      </w:r>
      <w:proofErr w:type="spellStart"/>
      <w:r>
        <w:t>пагнесивность</w:t>
      </w:r>
      <w:proofErr w:type="spellEnd"/>
      <w:r>
        <w:t xml:space="preserve">: деятельность государственных институтов ("бюрократизация принуждения"), идеология (особенно национализм, который </w:t>
      </w:r>
      <w:proofErr w:type="spellStart"/>
      <w:r>
        <w:t>дегуманизирует</w:t>
      </w:r>
      <w:proofErr w:type="spellEnd"/>
      <w:r>
        <w:t xml:space="preserve"> врага) и интенсивность межличностных связей в первичных группах, где желание угодить товарищам и избежать стыда становится мощным </w:t>
      </w:r>
      <w:proofErr w:type="spellStart"/>
      <w:r>
        <w:t>мотиватором</w:t>
      </w:r>
      <w:proofErr w:type="spellEnd"/>
      <w:r>
        <w:t xml:space="preserve"> [</w:t>
      </w:r>
      <w:proofErr w:type="spellStart"/>
      <w:r>
        <w:t>ibid</w:t>
      </w:r>
      <w:proofErr w:type="spellEnd"/>
      <w:r>
        <w:t>.: 142, 184, 322-323]. Хотя автор утверждает, что насилие поддается социологическому анализу [</w:t>
      </w:r>
      <w:proofErr w:type="spellStart"/>
      <w:r>
        <w:t>ibid</w:t>
      </w:r>
      <w:proofErr w:type="spellEnd"/>
      <w:r>
        <w:t xml:space="preserve">.: 323], </w:t>
      </w:r>
      <w:proofErr w:type="spellStart"/>
      <w:r>
        <w:t>Образцову</w:t>
      </w:r>
      <w:proofErr w:type="spellEnd"/>
      <w:r>
        <w:t xml:space="preserve"> не хватает в работе конкретных "инструментов" для его проведения, а также четких индикаторов для измерения уровня </w:t>
      </w:r>
      <w:proofErr w:type="spellStart"/>
      <w:r>
        <w:t>пагнесивности</w:t>
      </w:r>
      <w:proofErr w:type="spellEnd"/>
      <w:r>
        <w:t xml:space="preserve">, например, на основе стадий дезинтеграции боевых единиц, описанных </w:t>
      </w:r>
      <w:proofErr w:type="spellStart"/>
      <w:r>
        <w:t>Шилзом</w:t>
      </w:r>
      <w:proofErr w:type="spellEnd"/>
      <w:r>
        <w:t xml:space="preserve"> и </w:t>
      </w:r>
      <w:proofErr w:type="spellStart"/>
      <w:r>
        <w:t>Яновицем</w:t>
      </w:r>
      <w:proofErr w:type="spellEnd"/>
      <w:r>
        <w:t xml:space="preserve"> [</w:t>
      </w:r>
      <w:proofErr w:type="spellStart"/>
      <w:r>
        <w:t>Shills</w:t>
      </w:r>
      <w:proofErr w:type="spellEnd"/>
      <w:r>
        <w:t xml:space="preserve">, </w:t>
      </w:r>
      <w:proofErr w:type="spellStart"/>
      <w:r>
        <w:t>Janowitz</w:t>
      </w:r>
      <w:proofErr w:type="spellEnd"/>
      <w:r>
        <w:t>, 1948: 282].</w:t>
      </w:r>
    </w:p>
    <w:p w14:paraId="4CF4A38C" w14:textId="77777777" w:rsidR="00984054" w:rsidRDefault="00984054" w:rsidP="00984054"/>
    <w:p w14:paraId="6893D7FE" w14:textId="6033227A" w:rsidR="00984054" w:rsidRDefault="00984054">
      <w:r>
        <w:t>В заключение автор статьи подчеркивает, что игнорирование темы войны и организованного насилия делает анализ общества неполным и искаженным [</w:t>
      </w:r>
      <w:proofErr w:type="spellStart"/>
      <w:r>
        <w:t>Malešević</w:t>
      </w:r>
      <w:proofErr w:type="spellEnd"/>
      <w:r>
        <w:t>, 2010: 335]. Он критикует российскую социологию за то, что она систематически обходит стороной современные военные конфликты, включая Афганскую войну, чеченские кампании и текущую специальную военную операцию на Украине, ограничиваясь, в лучшем случае, опросами общественного мнения [</w:t>
      </w:r>
      <w:proofErr w:type="spellStart"/>
      <w:r>
        <w:t>Звоновский</w:t>
      </w:r>
      <w:proofErr w:type="spellEnd"/>
      <w:r>
        <w:t xml:space="preserve">, </w:t>
      </w:r>
      <w:proofErr w:type="spellStart"/>
      <w:r>
        <w:t>Ходыкин</w:t>
      </w:r>
      <w:proofErr w:type="spellEnd"/>
      <w:r>
        <w:t xml:space="preserve">, 2022: 51]. Единичные теоретические работы, по мнению Образцова, также не представляют ценности, будучи оторванными от реальных конфликтов [Куманьков, 2020]. Автор предупреждает, что последствия этих конфликтов, такие как посттравматический синдром у ветеранов, рано или поздно потребуют научного осмысления, для которого возможностей "суверенной отечественной социологии" может оказаться недостаточно, и тогда придется обращаться к зарубежным исследованиям [Кравченко, 2023: 59; </w:t>
      </w:r>
      <w:proofErr w:type="spellStart"/>
      <w:r>
        <w:t>Malešević</w:t>
      </w:r>
      <w:proofErr w:type="spellEnd"/>
      <w:r>
        <w:t xml:space="preserve"> 2010; </w:t>
      </w:r>
      <w:proofErr w:type="spellStart"/>
      <w:r>
        <w:t>Blattman</w:t>
      </w:r>
      <w:proofErr w:type="spellEnd"/>
      <w:r>
        <w:t>, 2022 и др.].</w:t>
      </w:r>
    </w:p>
    <w:sectPr w:rsidR="009840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50"/>
  <w:proofState w:spelling="clean"/>
  <w:revisionView w:inkAnnotations="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4054"/>
    <w:rsid w:val="003202F7"/>
    <w:rsid w:val="00984054"/>
    <w:rsid w:val="00F03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5AAFE32C"/>
  <w15:chartTrackingRefBased/>
  <w15:docId w15:val="{4A586F03-5B1B-1C49-9378-1DD21E3E28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98405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8405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8405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8405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8405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8405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8405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8405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8405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8405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98405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98405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984054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984054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984054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984054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984054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984054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98405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98405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8405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98405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98405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984054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984054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984054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98405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984054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98405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5" Type="http://schemas.openxmlformats.org/officeDocument/2006/relationships/theme" Target="theme/theme1.xml" /><Relationship Id="rId4" Type="http://schemas.openxmlformats.org/officeDocument/2006/relationships/fontTable" Target="fontTable.xml" 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569</Words>
  <Characters>3245</Characters>
  <Application>Microsoft Office Word</Application>
  <DocSecurity>0</DocSecurity>
  <Lines>27</Lines>
  <Paragraphs>7</Paragraphs>
  <ScaleCrop>false</ScaleCrop>
  <Company/>
  <LinksUpToDate>false</LinksUpToDate>
  <CharactersWithSpaces>3807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Георгий Ниорадзе</dc:creator>
  <cp:keywords/>
  <dc:description/>
  <cp:lastModifiedBy>Георгий Ниорадзе</cp:lastModifiedBy>
  <cp:revision>3</cp:revision>
  <dcterms:created xsi:type="dcterms:W3CDTF">2025-09-21T13:33:00Z</dcterms:created>
  <dcterms:modified xsi:type="dcterms:W3CDTF">2025-09-21T13:33:00Z</dcterms:modified>
</cp:coreProperties>
</file>